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contentLocked"/>
        <w:group/>
      </w:sdtPr>
      <w:sdtContent>
        <w:sdt>
          <w:sdtPr>
            <w:rPr>
              <w:rFonts w:ascii="Castellar" w:hAnsi="Castellar" w:cs="Aharoni"/>
              <w:sz w:val="52"/>
            </w:rPr>
            <w:alias w:val="Título de la entrada de blog"/>
            <w:id w:val="89512082"/>
            <w:placeholder>
              <w:docPart w:val="E5E388DD819E43ECBE1580ACBDE4B275"/>
            </w:placeholder>
            <w:dataBinding w:xpath="/ns0:BlogPostInfo/ns0:PostTitle" w:storeItemID="{8ACFF599-464A-472D-B9BF-BB3CA7DCD82C}"/>
            <w:text/>
          </w:sdtPr>
          <w:sdtContent>
            <w:p w:rsidR="005D6041" w:rsidRPr="00E84C5B" w:rsidRDefault="005D6041" w:rsidP="005D6041">
              <w:pPr>
                <w:pStyle w:val="Publishwithline"/>
                <w:ind w:right="390"/>
                <w:rPr>
                  <w:rFonts w:cs="Aharoni"/>
                  <w:sz w:val="48"/>
                </w:rPr>
              </w:pPr>
              <w:r w:rsidRPr="002065CC">
                <w:rPr>
                  <w:rFonts w:ascii="Castellar" w:hAnsi="Castellar" w:cs="Aharoni"/>
                  <w:sz w:val="52"/>
                </w:rPr>
                <w:t>Patologías y su Imagenologia</w:t>
              </w:r>
            </w:p>
          </w:sdtContent>
        </w:sdt>
        <w:p w:rsidR="005D6041" w:rsidRDefault="005D6041" w:rsidP="00146301">
          <w:pPr>
            <w:pStyle w:val="underline"/>
          </w:pPr>
        </w:p>
        <w:p w:rsidR="005D6041" w:rsidRDefault="005D6041" w:rsidP="00146301">
          <w:pPr>
            <w:pStyle w:val="PadderBetweenControlandBody"/>
          </w:pPr>
        </w:p>
      </w:sdtContent>
    </w:sdt>
    <w:tbl>
      <w:tblPr>
        <w:tblStyle w:val="Sombreadomedio1"/>
        <w:tblW w:w="14639" w:type="dxa"/>
        <w:tblLook w:val="04A0"/>
      </w:tblPr>
      <w:tblGrid>
        <w:gridCol w:w="1330"/>
        <w:gridCol w:w="5141"/>
        <w:gridCol w:w="2225"/>
        <w:gridCol w:w="2119"/>
        <w:gridCol w:w="2300"/>
        <w:gridCol w:w="1524"/>
      </w:tblGrid>
      <w:tr w:rsidR="000B67E7" w:rsidRPr="005D6041" w:rsidTr="000B67E7">
        <w:trPr>
          <w:cnfStyle w:val="10000000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Segmento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ind w:right="202"/>
              <w:cnfStyle w:val="100000000000"/>
              <w:rPr>
                <w:rFonts w:ascii="Comic Sans MS" w:eastAsia="Times New Roman" w:hAnsi="Comic Sans MS" w:cstheme="minorHAnsi"/>
                <w:color w:val="000000"/>
                <w:sz w:val="24"/>
                <w:szCs w:val="24"/>
                <w:shd w:val="clear" w:color="auto" w:fill="FFFFFF"/>
                <w:lang w:eastAsia="es-MX"/>
              </w:rPr>
            </w:pPr>
            <w:r w:rsidRPr="005D6041">
              <w:rPr>
                <w:rFonts w:ascii="Comic Sans MS" w:eastAsia="Times New Roman" w:hAnsi="Comic Sans MS" w:cstheme="minorHAnsi"/>
                <w:color w:val="000000"/>
                <w:sz w:val="24"/>
                <w:szCs w:val="24"/>
                <w:shd w:val="clear" w:color="auto" w:fill="FFFFFF"/>
                <w:lang w:eastAsia="es-MX"/>
              </w:rPr>
              <w:t>Padecimiento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1000000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Radiografía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1000000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Tomografía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1000000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Resonancia magnética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1000000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Ultrasonido</w:t>
            </w:r>
          </w:p>
        </w:tc>
      </w:tr>
      <w:tr w:rsidR="000B67E7" w:rsidRPr="005D6041" w:rsidTr="000B67E7">
        <w:trPr>
          <w:cnfStyle w:val="00000010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Cabeza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eastAsia="Times New Roman" w:hAnsi="Comic Sans MS" w:cstheme="minorHAnsi"/>
                <w:b/>
                <w:color w:val="000000"/>
                <w:sz w:val="24"/>
                <w:szCs w:val="24"/>
                <w:shd w:val="clear" w:color="auto" w:fill="FFFFFF"/>
                <w:lang w:eastAsia="es-MX"/>
              </w:rPr>
            </w:pPr>
            <w:proofErr w:type="spellStart"/>
            <w:r w:rsidRPr="005D6041">
              <w:rPr>
                <w:rFonts w:ascii="Comic Sans MS" w:eastAsia="Times New Roman" w:hAnsi="Comic Sans MS" w:cstheme="minorHAnsi"/>
                <w:b/>
                <w:color w:val="000000"/>
                <w:sz w:val="24"/>
                <w:szCs w:val="24"/>
                <w:highlight w:val="lightGray"/>
                <w:shd w:val="clear" w:color="auto" w:fill="FFFFFF"/>
                <w:lang w:eastAsia="es-MX"/>
              </w:rPr>
              <w:t>Meningioma</w:t>
            </w:r>
            <w:proofErr w:type="spellEnd"/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Escala de Glasgow para Coma (EGC): 14 puntos</w:t>
            </w:r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Bradipsiquia</w:t>
            </w:r>
            <w:proofErr w:type="spellEnd"/>
            <w:r w:rsidRPr="005D6041">
              <w:rPr>
                <w:rFonts w:ascii="Comic Sans MS" w:hAnsi="Comic Sans MS"/>
                <w:sz w:val="24"/>
                <w:szCs w:val="24"/>
              </w:rPr>
              <w:t xml:space="preserve"> y bradilalia.</w:t>
            </w:r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Hemiparesia</w:t>
            </w:r>
            <w:proofErr w:type="spellEnd"/>
            <w:r w:rsidRPr="005D6041">
              <w:rPr>
                <w:rFonts w:ascii="Comic Sans MS" w:hAnsi="Comic Sans MS"/>
                <w:sz w:val="24"/>
                <w:szCs w:val="24"/>
              </w:rPr>
              <w:t xml:space="preserve"> derecha total, directa, a predominio braquial.</w:t>
            </w:r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Disfasia mixta a predominio motor.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 w:cstheme="minorHAnsi"/>
                <w:sz w:val="24"/>
                <w:szCs w:val="24"/>
              </w:rPr>
            </w:pPr>
            <w:r w:rsidRPr="005D6041">
              <w:rPr>
                <w:rFonts w:ascii="Comic Sans MS" w:hAnsi="Comic Sans M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Tumor radiopaco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</w:rPr>
              <w:t xml:space="preserve">Tumor </w:t>
            </w:r>
            <w:proofErr w:type="spellStart"/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</w:rPr>
              <w:t>hiperdenso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T1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hiperintensa</w:t>
            </w:r>
            <w:proofErr w:type="spellEnd"/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T2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hipointensa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  <w:t>Ø</w:t>
            </w:r>
          </w:p>
        </w:tc>
      </w:tr>
      <w:tr w:rsidR="005D6041" w:rsidRPr="005D6041" w:rsidTr="000B67E7">
        <w:trPr>
          <w:cnfStyle w:val="00000001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Cabeza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b/>
                <w:sz w:val="24"/>
                <w:szCs w:val="24"/>
              </w:rPr>
            </w:pPr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t>Cisticerco</w:t>
            </w:r>
          </w:p>
          <w:p w:rsid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 w:cstheme="minorHAnsi"/>
                <w:sz w:val="24"/>
                <w:szCs w:val="24"/>
              </w:rPr>
            </w:pPr>
            <w:r w:rsidRPr="005D6041">
              <w:rPr>
                <w:rFonts w:ascii="Comic Sans MS" w:hAnsi="Comic Sans MS" w:cstheme="minorHAnsi"/>
                <w:sz w:val="24"/>
                <w:szCs w:val="24"/>
              </w:rPr>
              <w:t>Cefalea frecuente, convulsiones, trastornos de la visión, alteraciones psiquiátricas, vómitos, pérdida de la conciencia.</w:t>
            </w:r>
          </w:p>
          <w:p w:rsid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 w:cstheme="minorHAnsi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Imágenes radiopacas redondas, miden entre 3 y 6 mm de diámetro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imagen hipodensa,</w:t>
            </w: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redonda, de tamaño variable en función de su localización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imágenes redondeadas</w:t>
            </w: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hipointensas</w:t>
            </w:r>
            <w:proofErr w:type="spellEnd"/>
            <w:r w:rsidRPr="005D6041">
              <w:rPr>
                <w:rFonts w:ascii="Comic Sans MS" w:hAnsi="Comic Sans MS"/>
                <w:sz w:val="24"/>
                <w:szCs w:val="24"/>
              </w:rPr>
              <w:t xml:space="preserve"> en T1 e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hiperintensas</w:t>
            </w:r>
            <w:proofErr w:type="spellEnd"/>
            <w:r w:rsidRPr="005D6041">
              <w:rPr>
                <w:rFonts w:ascii="Comic Sans MS" w:hAnsi="Comic Sans MS"/>
                <w:sz w:val="24"/>
                <w:szCs w:val="24"/>
              </w:rPr>
              <w:t xml:space="preserve"> en T2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  <w:t>Ø</w:t>
            </w:r>
          </w:p>
        </w:tc>
      </w:tr>
      <w:tr w:rsidR="000B67E7" w:rsidRPr="005D6041" w:rsidTr="000B67E7">
        <w:trPr>
          <w:cnfStyle w:val="00000010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cabeza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b/>
                <w:sz w:val="24"/>
                <w:szCs w:val="24"/>
              </w:rPr>
            </w:pPr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t>Epilepsias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Crisis epilépticas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Pérdida del sentido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 w:cstheme="minorHAnsi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Espasmos musculares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Radiopaco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Hipodenso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hiperintenso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  <w:t>Ø</w:t>
            </w:r>
          </w:p>
        </w:tc>
      </w:tr>
      <w:tr w:rsidR="005D6041" w:rsidRPr="005D6041" w:rsidTr="000B67E7">
        <w:trPr>
          <w:cnfStyle w:val="000000010000"/>
          <w:trHeight w:val="2316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Cabeza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b/>
                <w:sz w:val="24"/>
                <w:szCs w:val="24"/>
              </w:rPr>
            </w:pPr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t xml:space="preserve">Hemorragia </w:t>
            </w:r>
            <w:proofErr w:type="spellStart"/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t>subdural</w:t>
            </w:r>
            <w:proofErr w:type="spellEnd"/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Dolor de cabeza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Glasgow (datos de alarma)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Náuseas y vomito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Debilidad, entumecimiento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(Escala de grises)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Radiolucidez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Hiperdenso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T1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hiperintenso</w:t>
            </w:r>
            <w:proofErr w:type="spellEnd"/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T2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hipointenso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ind w:firstLine="708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Ø</w:t>
            </w:r>
          </w:p>
        </w:tc>
      </w:tr>
      <w:tr w:rsidR="000B67E7" w:rsidRPr="005D6041" w:rsidTr="000B67E7">
        <w:trPr>
          <w:cnfStyle w:val="00000010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Cabeza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b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t>Mieloma múltiple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Dolor de huesos y espalda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Fiebre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Susceptibilidad a infecciones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Síntomas de anemia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Fracturas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Radiolucidez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Hipodenso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T1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hiperintenso</w:t>
            </w:r>
            <w:proofErr w:type="spellEnd"/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T2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hipointenso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  <w:t>Ø</w:t>
            </w:r>
          </w:p>
        </w:tc>
      </w:tr>
      <w:tr w:rsidR="005D6041" w:rsidRPr="005D6041" w:rsidTr="000B67E7">
        <w:trPr>
          <w:cnfStyle w:val="00000001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Cabeza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b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t xml:space="preserve">Adenoma </w:t>
            </w:r>
            <w:proofErr w:type="spellStart"/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t>Hipofisiario</w:t>
            </w:r>
            <w:proofErr w:type="spellEnd"/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Cefalea derecha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Secreción de leche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Amenorrea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Niveles de hormonas altas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Radiolucidez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Hiperdenso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T1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hiperintenso</w:t>
            </w:r>
            <w:proofErr w:type="spellEnd"/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T2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hipointenso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  <w:t>Ø</w:t>
            </w:r>
          </w:p>
        </w:tc>
      </w:tr>
      <w:tr w:rsidR="000B67E7" w:rsidRPr="005D6041" w:rsidTr="000B67E7">
        <w:trPr>
          <w:cnfStyle w:val="00000010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Cabeza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b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t xml:space="preserve">Hemorragia </w:t>
            </w:r>
            <w:proofErr w:type="spellStart"/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t>subaracnoidea</w:t>
            </w:r>
            <w:proofErr w:type="spellEnd"/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Cefalea</w:t>
            </w:r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Náuseas y vomito</w:t>
            </w:r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Alteraciones de la conciencia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b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Rigidez de nuca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radiopaco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Hiperdenso</w:t>
            </w:r>
            <w:proofErr w:type="spellEnd"/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T2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Hipodenso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Hiperintenso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  <w:t>Ø</w:t>
            </w:r>
          </w:p>
        </w:tc>
      </w:tr>
      <w:tr w:rsidR="005D6041" w:rsidRPr="005D6041" w:rsidTr="000B67E7">
        <w:trPr>
          <w:cnfStyle w:val="00000001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lastRenderedPageBreak/>
              <w:t>Cabeza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b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lastRenderedPageBreak/>
              <w:t xml:space="preserve">Hemorragia </w:t>
            </w:r>
            <w:proofErr w:type="spellStart"/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t>subdural</w:t>
            </w:r>
            <w:proofErr w:type="spellEnd"/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  <w:lang w:val="es-ES"/>
              </w:rPr>
              <w:t>Somnolencia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  <w:lang w:val="es-ES"/>
              </w:rPr>
              <w:t>confusión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  <w:lang w:val="es-ES"/>
              </w:rPr>
              <w:lastRenderedPageBreak/>
              <w:t>trastornos  visuales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  <w:lang w:val="es-ES"/>
              </w:rPr>
              <w:t xml:space="preserve">debilidad 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  <w:lang w:val="es-ES"/>
              </w:rPr>
              <w:t>entumecimiento en un lado del cuerpo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  <w:lang w:val="es-ES"/>
              </w:rPr>
              <w:t>dolores persistentes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b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  <w:lang w:val="es-ES"/>
              </w:rPr>
              <w:t>Náuseas.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Radiopaco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lastRenderedPageBreak/>
              <w:t>Hiperdenso</w:t>
            </w:r>
            <w:proofErr w:type="spellEnd"/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T2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Hipodenso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lastRenderedPageBreak/>
              <w:t>Hiperintenso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  <w:t>Ø</w:t>
            </w:r>
          </w:p>
        </w:tc>
      </w:tr>
      <w:tr w:rsidR="000B67E7" w:rsidRPr="005D6041" w:rsidTr="000B67E7">
        <w:trPr>
          <w:cnfStyle w:val="00000010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Tórax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b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t>Tuberculosis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Bacilo de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kotch</w:t>
            </w:r>
            <w:proofErr w:type="spellEnd"/>
            <w:r w:rsidRPr="005D6041">
              <w:rPr>
                <w:rFonts w:ascii="Comic Sans MS" w:hAnsi="Comic Sans MS"/>
                <w:sz w:val="24"/>
                <w:szCs w:val="24"/>
              </w:rPr>
              <w:t xml:space="preserve"> o bacilo tuberculoso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convivencia con personas tuberculosas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personas adultas, delgadas, bonitas, ojos claros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tos con sangre, disnea, pérdida de peso,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linfadenopatia</w:t>
            </w:r>
            <w:proofErr w:type="spellEnd"/>
            <w:r w:rsidRPr="005D6041">
              <w:rPr>
                <w:rFonts w:ascii="Comic Sans MS" w:hAnsi="Comic Sans MS"/>
                <w:sz w:val="24"/>
                <w:szCs w:val="24"/>
              </w:rPr>
              <w:t>, linfangitis, fiebre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Radiopaco</w:t>
            </w: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Hiperdenso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Hiperintenso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  <w:t>Ø</w:t>
            </w:r>
          </w:p>
        </w:tc>
      </w:tr>
      <w:tr w:rsidR="005D6041" w:rsidRPr="005D6041" w:rsidTr="000B67E7">
        <w:trPr>
          <w:cnfStyle w:val="00000001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Tórax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b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t>Neumonía bacteriana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neumococo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influnzae</w:t>
            </w:r>
            <w:proofErr w:type="spellEnd"/>
            <w:r w:rsidRPr="005D6041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menos de un año y más de 60 años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tos, fiebre, cefalea, artralgias, disnea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Lóbulo apical, lulo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lobal</w:t>
            </w:r>
            <w:proofErr w:type="spellEnd"/>
            <w:r w:rsidRPr="005D6041">
              <w:rPr>
                <w:rFonts w:ascii="Comic Sans MS" w:hAnsi="Comic Sans MS"/>
                <w:sz w:val="24"/>
                <w:szCs w:val="24"/>
              </w:rPr>
              <w:t xml:space="preserve">, lóbulo basal muestra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radiopacidad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Hiperdenso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Hiperintenso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  <w:t>Ø</w:t>
            </w:r>
          </w:p>
        </w:tc>
      </w:tr>
      <w:tr w:rsidR="000B67E7" w:rsidRPr="005D6041" w:rsidTr="000B67E7">
        <w:trPr>
          <w:cnfStyle w:val="00000010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Tórax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b/>
                <w:sz w:val="24"/>
                <w:szCs w:val="24"/>
              </w:rPr>
            </w:pPr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lastRenderedPageBreak/>
              <w:t>Neumonía viral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Causada por varios virus: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Influenza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Adenovirus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Parainfluenza</w:t>
            </w:r>
            <w:proofErr w:type="spellEnd"/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Virus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t>sincicial</w:t>
            </w:r>
            <w:proofErr w:type="spellEnd"/>
            <w:r w:rsidRPr="005D6041">
              <w:rPr>
                <w:rFonts w:ascii="Comic Sans MS" w:hAnsi="Comic Sans MS"/>
                <w:sz w:val="24"/>
                <w:szCs w:val="24"/>
              </w:rPr>
              <w:t xml:space="preserve"> respiratorio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Pacientes adultos con VIH/SIDA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Bebes que nacen muy prematuros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lastRenderedPageBreak/>
              <w:t>Niños con problemas cardiacos y pulmonares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Personas que reciben quimioterapia para el cáncer u otros medicamentos que debilitan el sistema Inmunitario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Tos, fiebre, disnea, escalofríos, cefalea, confusión, fatiga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 xml:space="preserve">Muestra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lastRenderedPageBreak/>
              <w:t>radiopacidad</w:t>
            </w:r>
            <w:proofErr w:type="spellEnd"/>
            <w:r w:rsidRPr="005D6041">
              <w:rPr>
                <w:rFonts w:ascii="Comic Sans MS" w:hAnsi="Comic Sans MS"/>
                <w:sz w:val="24"/>
                <w:szCs w:val="24"/>
              </w:rPr>
              <w:t xml:space="preserve"> en lóbulo basal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lastRenderedPageBreak/>
              <w:t>Hiperdenso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/>
                <w:sz w:val="24"/>
                <w:szCs w:val="24"/>
              </w:rPr>
              <w:lastRenderedPageBreak/>
              <w:t>Hiperintenso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  <w:t>Ø</w:t>
            </w:r>
          </w:p>
        </w:tc>
      </w:tr>
      <w:tr w:rsidR="005D6041" w:rsidRPr="005D6041" w:rsidTr="000B67E7">
        <w:trPr>
          <w:cnfStyle w:val="00000001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Tórax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b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t>Absceso pulmonar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  <w:t xml:space="preserve">alcoholismo, </w:t>
            </w:r>
            <w:proofErr w:type="spellStart"/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  <w:t>evc</w:t>
            </w:r>
            <w:proofErr w:type="spellEnd"/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  <w:t xml:space="preserve"> agudo, sobredosis de drogas, coma de cualquier causa 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>Fatiga, pérdida de peso, fiebre, sudoración, tos, generalmente olor pútrido producto de las bacterias, dolor abdominal.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010000"/>
              <w:rPr>
                <w:rFonts w:ascii="Comic Sans MS" w:hAnsi="Comic Sans MS"/>
                <w:sz w:val="24"/>
                <w:szCs w:val="24"/>
                <w:highlight w:val="lightGray"/>
              </w:rPr>
            </w:pP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 xml:space="preserve">una o más cavidades con nivel </w:t>
            </w:r>
            <w:proofErr w:type="spellStart"/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>hidroaereo</w:t>
            </w:r>
            <w:proofErr w:type="spellEnd"/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 xml:space="preserve"> y se localiza en zonas declives del pulmón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 xml:space="preserve">una o más cavidades con nivel </w:t>
            </w:r>
            <w:proofErr w:type="spellStart"/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>hidroaereo</w:t>
            </w:r>
            <w:proofErr w:type="spellEnd"/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 xml:space="preserve"> y se localiza en zonas declives del pulmón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 xml:space="preserve">una o más cavidades con nivel </w:t>
            </w:r>
            <w:proofErr w:type="spellStart"/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>hidroaereo</w:t>
            </w:r>
            <w:proofErr w:type="spellEnd"/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 xml:space="preserve"> y se localiza en zonas declives del pulmón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01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  <w:t>Ø</w:t>
            </w:r>
          </w:p>
        </w:tc>
      </w:tr>
      <w:tr w:rsidR="000B67E7" w:rsidRPr="005D6041" w:rsidTr="000B67E7">
        <w:trPr>
          <w:cnfStyle w:val="00000010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Tórax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b/>
                <w:sz w:val="24"/>
                <w:szCs w:val="24"/>
              </w:rPr>
            </w:pPr>
            <w:r w:rsidRPr="005D6041">
              <w:rPr>
                <w:rFonts w:ascii="Comic Sans MS" w:hAnsi="Comic Sans MS"/>
                <w:b/>
                <w:sz w:val="24"/>
                <w:szCs w:val="24"/>
                <w:highlight w:val="lightGray"/>
              </w:rPr>
              <w:t>Enfisema pulmonar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más frecuente en hombres mayores a los 40 años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causa más frecuente el cigarro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</w:rPr>
              <w:t>disnea, tos, pérdida de peso, ansiedad, edema, fatiga</w:t>
            </w:r>
          </w:p>
          <w:p w:rsidR="005D6041" w:rsidRPr="005D6041" w:rsidRDefault="005D6041" w:rsidP="000B67E7">
            <w:pPr>
              <w:pStyle w:val="Sinespaciado"/>
              <w:ind w:right="202"/>
              <w:cnfStyle w:val="000000100000"/>
              <w:rPr>
                <w:rFonts w:ascii="Comic Sans MS" w:hAnsi="Comic Sans MS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>aumento de trama vascular en lóbulo medio radiopaco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>Hiperdenso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 xml:space="preserve">T1 </w:t>
            </w:r>
            <w:proofErr w:type="spellStart"/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>hiperintenso</w:t>
            </w:r>
            <w:proofErr w:type="spellEnd"/>
          </w:p>
          <w:p w:rsidR="005D6041" w:rsidRPr="005D6041" w:rsidRDefault="005D6041" w:rsidP="000B67E7">
            <w:pPr>
              <w:pStyle w:val="Sinespaciado"/>
              <w:cnfStyle w:val="000000100000"/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</w:pPr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 xml:space="preserve">T2 </w:t>
            </w:r>
            <w:proofErr w:type="spellStart"/>
            <w:r w:rsidRPr="005D6041">
              <w:rPr>
                <w:rStyle w:val="apple-style-span"/>
                <w:rFonts w:ascii="Comic Sans MS" w:hAnsi="Comic Sans MS" w:cs="Arial"/>
                <w:color w:val="000000"/>
                <w:sz w:val="24"/>
                <w:szCs w:val="24"/>
                <w:shd w:val="clear" w:color="auto" w:fill="FFFFFF"/>
              </w:rPr>
              <w:t>hipointenso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</w:p>
          <w:p w:rsidR="005D6041" w:rsidRPr="005D6041" w:rsidRDefault="005D6041" w:rsidP="000B67E7">
            <w:pPr>
              <w:pStyle w:val="Sinespaciado"/>
              <w:cnfStyle w:val="000000100000"/>
              <w:rPr>
                <w:rFonts w:ascii="Comic Sans MS" w:hAnsi="Comic Sans MS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  <w:lang w:eastAsia="es-MX"/>
              </w:rPr>
              <w:t>Ø</w:t>
            </w:r>
          </w:p>
        </w:tc>
      </w:tr>
      <w:tr w:rsidR="005D6041" w:rsidRPr="005D6041" w:rsidTr="000B67E7">
        <w:trPr>
          <w:cnfStyle w:val="00000001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tórax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lastRenderedPageBreak/>
              <w:t>Insuficiencia cardiaca,</w:t>
            </w:r>
            <w:r w:rsidRPr="005D6041">
              <w:rPr>
                <w:rFonts w:ascii="Comic Sans MS" w:hAnsi="Comic Sans MS" w:cs="Arial"/>
                <w:sz w:val="24"/>
                <w:szCs w:val="24"/>
              </w:rPr>
              <w:t xml:space="preserve"> Dificultad,  respiratoria, Tos.</w:t>
            </w:r>
          </w:p>
          <w:p w:rsidR="005D6041" w:rsidRPr="005D6041" w:rsidRDefault="005D6041" w:rsidP="000B67E7">
            <w:pPr>
              <w:tabs>
                <w:tab w:val="num" w:pos="720"/>
              </w:tabs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Inflamación de los pies y los tobillos.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lastRenderedPageBreak/>
              <w:t>Inflamación del abdomen.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Aumento de peso.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Pulso irregular o rápido.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Palpitaciones.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Dificultad para dormir.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Fatiga, debilidad, desmayos.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Inapetencia, indigestión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radiopaco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 w:cs="Arial"/>
                <w:sz w:val="24"/>
                <w:szCs w:val="24"/>
              </w:rPr>
              <w:t>hiperdenso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T1 hiperlucido</w:t>
            </w: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T2.hipolucido</w:t>
            </w: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hiperecoico</w:t>
            </w:r>
          </w:p>
        </w:tc>
      </w:tr>
      <w:tr w:rsidR="000B67E7" w:rsidRPr="005D6041" w:rsidTr="000B67E7">
        <w:trPr>
          <w:cnfStyle w:val="00000010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Tórax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t>Insuficiencia renal</w:t>
            </w:r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Disminución rápida de la filtración glomerular.</w:t>
            </w:r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Oliguria o anuria.</w:t>
            </w:r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Aumenta la concentración de urea sanguínea, la creatinina, el ácido úrico, el fosfato y electrolitos. 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radiopaca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 w:cs="Arial"/>
                <w:sz w:val="24"/>
                <w:szCs w:val="24"/>
              </w:rPr>
              <w:t>hiperdenso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T1 hiperlucido</w:t>
            </w: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T2.hipolucido</w:t>
            </w: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D6041" w:rsidRPr="005D6041" w:rsidRDefault="005D6041" w:rsidP="000B67E7">
            <w:pPr>
              <w:spacing w:before="100" w:beforeAutospacing="1" w:after="100" w:afterAutospacing="1" w:line="497" w:lineRule="atLeast"/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spacing w:before="100" w:beforeAutospacing="1" w:after="100" w:afterAutospacing="1" w:line="497" w:lineRule="atLeast"/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hiperecoico</w:t>
            </w:r>
          </w:p>
        </w:tc>
      </w:tr>
      <w:tr w:rsidR="005D6041" w:rsidRPr="005D6041" w:rsidTr="000B67E7">
        <w:trPr>
          <w:cnfStyle w:val="00000001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tórax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t>Insuficiencia hepática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Aliento con olor rancio o dulce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Cambio en los patrones de sueño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Confusión mental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Cambios de personalidad o estado anímico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Deficiente capacidad de discernimiento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Empeoramiento de la escritura a mano o pérdida de otros movimientos pequeños de la mano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radiopaca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 w:cs="Arial"/>
                <w:sz w:val="24"/>
                <w:szCs w:val="24"/>
              </w:rPr>
              <w:t>hiperdenso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T1 hiperlucido</w:t>
            </w: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T2.hipolucido</w:t>
            </w: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hiperecoico</w:t>
            </w:r>
          </w:p>
        </w:tc>
      </w:tr>
      <w:tr w:rsidR="000B67E7" w:rsidRPr="005D6041" w:rsidTr="000B67E7">
        <w:trPr>
          <w:cnfStyle w:val="00000010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tórax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lastRenderedPageBreak/>
              <w:t>Asma</w:t>
            </w:r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lastRenderedPageBreak/>
              <w:t>Disnea o dificultad para respirar, especialmente temprano en la mañana o en la noche, presencia de espasmos bronquiales, habitualmente acompañados de tos, rigidez torácica, secreciones mucosas, respiración sibilante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radiolucida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hipodensa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T1 hipolucido</w:t>
            </w: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T2 hiperlucido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Ø</w:t>
            </w:r>
          </w:p>
        </w:tc>
      </w:tr>
      <w:tr w:rsidR="005D6041" w:rsidRPr="005D6041" w:rsidTr="000B67E7">
        <w:trPr>
          <w:cnfStyle w:val="00000001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Tórax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t>Infarto pulmonar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Dolor intenso de +10 min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Sudor</w:t>
            </w:r>
          </w:p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Nauseas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Radiopaco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 w:cs="Arial"/>
                <w:sz w:val="24"/>
                <w:szCs w:val="24"/>
              </w:rPr>
              <w:t>Hiperdenso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 xml:space="preserve">T1 </w:t>
            </w:r>
            <w:proofErr w:type="spellStart"/>
            <w:r w:rsidRPr="005D6041">
              <w:rPr>
                <w:rFonts w:ascii="Comic Sans MS" w:hAnsi="Comic Sans MS" w:cs="Arial"/>
                <w:sz w:val="24"/>
                <w:szCs w:val="24"/>
              </w:rPr>
              <w:t>hiperintenso</w:t>
            </w:r>
            <w:proofErr w:type="spellEnd"/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 xml:space="preserve">T2 </w:t>
            </w:r>
            <w:proofErr w:type="spellStart"/>
            <w:r w:rsidRPr="005D6041">
              <w:rPr>
                <w:rFonts w:ascii="Comic Sans MS" w:hAnsi="Comic Sans MS" w:cs="Arial"/>
                <w:sz w:val="24"/>
                <w:szCs w:val="24"/>
              </w:rPr>
              <w:t>hipointenso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Ø</w:t>
            </w:r>
          </w:p>
        </w:tc>
      </w:tr>
      <w:tr w:rsidR="000B67E7" w:rsidRPr="005D6041" w:rsidTr="000B67E7">
        <w:trPr>
          <w:cnfStyle w:val="00000010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Tórax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t>Tromboembolia pulmonar</w:t>
            </w:r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Crece el pulmón y el ventrículo derecho</w:t>
            </w:r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Taquicardia</w:t>
            </w:r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Dolor torácico</w:t>
            </w:r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Disnea</w:t>
            </w:r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Hemoptisis</w:t>
            </w:r>
          </w:p>
          <w:p w:rsidR="005D6041" w:rsidRPr="005D6041" w:rsidRDefault="005D6041" w:rsidP="000B67E7">
            <w:pPr>
              <w:ind w:right="202"/>
              <w:cnfStyle w:val="000000100000"/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Derrame pleural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Ø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5D6041">
              <w:rPr>
                <w:rFonts w:ascii="Comic Sans MS" w:hAnsi="Comic Sans MS" w:cs="Arial"/>
                <w:sz w:val="24"/>
                <w:szCs w:val="24"/>
              </w:rPr>
              <w:t>Hiperdenso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 xml:space="preserve">T1 </w:t>
            </w:r>
            <w:proofErr w:type="spellStart"/>
            <w:r w:rsidRPr="005D6041">
              <w:rPr>
                <w:rFonts w:ascii="Comic Sans MS" w:hAnsi="Comic Sans MS" w:cs="Arial"/>
                <w:sz w:val="24"/>
                <w:szCs w:val="24"/>
              </w:rPr>
              <w:t>hiperintenso</w:t>
            </w:r>
            <w:proofErr w:type="spellEnd"/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 xml:space="preserve">T2 </w:t>
            </w:r>
            <w:proofErr w:type="spellStart"/>
            <w:r w:rsidRPr="005D6041">
              <w:rPr>
                <w:rFonts w:ascii="Comic Sans MS" w:hAnsi="Comic Sans MS" w:cs="Arial"/>
                <w:sz w:val="24"/>
                <w:szCs w:val="24"/>
              </w:rPr>
              <w:t>hipointenso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10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Ø</w:t>
            </w:r>
          </w:p>
        </w:tc>
      </w:tr>
      <w:tr w:rsidR="005D6041" w:rsidRPr="005D6041" w:rsidTr="000B67E7">
        <w:trPr>
          <w:cnfStyle w:val="000000010000"/>
        </w:trPr>
        <w:tc>
          <w:tcPr>
            <w:cnfStyle w:val="001000000000"/>
            <w:tcW w:w="0" w:type="auto"/>
          </w:tcPr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Tórax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ind w:right="202"/>
              <w:cnfStyle w:val="000000010000"/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</w:pPr>
            <w:proofErr w:type="spellStart"/>
            <w:r w:rsidRPr="005D6041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t>Mixoma</w:t>
            </w:r>
            <w:proofErr w:type="spellEnd"/>
          </w:p>
          <w:p w:rsidR="005D6041" w:rsidRPr="005D6041" w:rsidRDefault="005D6041" w:rsidP="000B67E7">
            <w:pPr>
              <w:spacing w:line="276" w:lineRule="auto"/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  <w:lang w:val="es-ES"/>
              </w:rPr>
              <w:t>Dificultad para respirar al estar acostado</w:t>
            </w:r>
          </w:p>
          <w:p w:rsidR="005D6041" w:rsidRPr="005D6041" w:rsidRDefault="005D6041" w:rsidP="000B67E7">
            <w:pPr>
              <w:spacing w:line="276" w:lineRule="auto"/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  <w:lang w:val="es-ES"/>
              </w:rPr>
              <w:t>Dificultad para respirar al estar dormido</w:t>
            </w:r>
          </w:p>
          <w:p w:rsidR="005D6041" w:rsidRPr="005D6041" w:rsidRDefault="005D6041" w:rsidP="000B67E7">
            <w:pPr>
              <w:spacing w:line="276" w:lineRule="auto"/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  <w:lang w:val="es-ES"/>
              </w:rPr>
              <w:t>Opresión o dolor en el pecho</w:t>
            </w:r>
          </w:p>
          <w:p w:rsidR="005D6041" w:rsidRPr="005D6041" w:rsidRDefault="005D6041" w:rsidP="000B67E7">
            <w:pPr>
              <w:spacing w:line="276" w:lineRule="auto"/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  <w:lang w:val="es-ES"/>
              </w:rPr>
              <w:t>Mareos, Desmayo</w:t>
            </w:r>
          </w:p>
          <w:p w:rsidR="005D6041" w:rsidRPr="005D6041" w:rsidRDefault="005D6041" w:rsidP="000B67E7">
            <w:pPr>
              <w:spacing w:line="276" w:lineRule="auto"/>
              <w:ind w:right="202"/>
              <w:cnfStyle w:val="000000010000"/>
              <w:rPr>
                <w:rFonts w:ascii="Comic Sans MS" w:hAnsi="Comic Sans MS" w:cs="Arial"/>
                <w:sz w:val="24"/>
                <w:szCs w:val="24"/>
                <w:lang w:val="es-ES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  <w:lang w:val="es-ES"/>
              </w:rPr>
              <w:t>Sensación de percibir los latidos cardíacos (palpitaciones)</w:t>
            </w:r>
          </w:p>
          <w:p w:rsidR="005D6041" w:rsidRPr="005D6041" w:rsidRDefault="005D6041" w:rsidP="000B67E7">
            <w:pPr>
              <w:spacing w:line="276" w:lineRule="auto"/>
              <w:ind w:right="202"/>
              <w:cnfStyle w:val="000000010000"/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  <w:lang w:val="es-ES"/>
              </w:rPr>
              <w:t>Dificultad para respirar con la actividad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>Radiopaco</w:t>
            </w:r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 xml:space="preserve">Tumor </w:t>
            </w:r>
            <w:proofErr w:type="spellStart"/>
            <w:r w:rsidRPr="005D6041">
              <w:rPr>
                <w:rFonts w:ascii="Comic Sans MS" w:hAnsi="Comic Sans MS" w:cs="Arial"/>
                <w:sz w:val="24"/>
                <w:szCs w:val="24"/>
              </w:rPr>
              <w:t>hiperdenso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 xml:space="preserve">T1 </w:t>
            </w:r>
            <w:proofErr w:type="spellStart"/>
            <w:r w:rsidRPr="005D6041">
              <w:rPr>
                <w:rFonts w:ascii="Comic Sans MS" w:hAnsi="Comic Sans MS" w:cs="Arial"/>
                <w:sz w:val="24"/>
                <w:szCs w:val="24"/>
              </w:rPr>
              <w:t>hiperintenso</w:t>
            </w:r>
            <w:proofErr w:type="spellEnd"/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 w:cs="Arial"/>
                <w:sz w:val="24"/>
                <w:szCs w:val="24"/>
              </w:rPr>
              <w:t xml:space="preserve">T2 </w:t>
            </w:r>
            <w:proofErr w:type="spellStart"/>
            <w:r w:rsidRPr="005D6041">
              <w:rPr>
                <w:rFonts w:ascii="Comic Sans MS" w:hAnsi="Comic Sans MS" w:cs="Arial"/>
                <w:sz w:val="24"/>
                <w:szCs w:val="24"/>
              </w:rPr>
              <w:t>hipointenso</w:t>
            </w:r>
            <w:proofErr w:type="spellEnd"/>
          </w:p>
        </w:tc>
        <w:tc>
          <w:tcPr>
            <w:tcW w:w="0" w:type="auto"/>
          </w:tcPr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</w:p>
          <w:p w:rsidR="005D6041" w:rsidRPr="005D6041" w:rsidRDefault="005D6041" w:rsidP="000B67E7">
            <w:pPr>
              <w:cnfStyle w:val="000000010000"/>
              <w:rPr>
                <w:rFonts w:ascii="Comic Sans MS" w:hAnsi="Comic Sans MS" w:cs="Arial"/>
                <w:sz w:val="24"/>
                <w:szCs w:val="24"/>
              </w:rPr>
            </w:pPr>
            <w:r w:rsidRPr="005D6041">
              <w:rPr>
                <w:rFonts w:ascii="Comic Sans MS" w:hAnsi="Comic Sans MS"/>
                <w:sz w:val="24"/>
                <w:szCs w:val="24"/>
                <w:shd w:val="clear" w:color="auto" w:fill="FFFFFF"/>
              </w:rPr>
              <w:t>Ø</w:t>
            </w:r>
            <w:bookmarkStart w:id="0" w:name="_GoBack"/>
            <w:bookmarkEnd w:id="0"/>
          </w:p>
        </w:tc>
      </w:tr>
    </w:tbl>
    <w:p w:rsidR="00C55DD7" w:rsidRPr="005D6041" w:rsidRDefault="00C55DD7">
      <w:pPr>
        <w:rPr>
          <w:rFonts w:ascii="Comic Sans MS" w:hAnsi="Comic Sans MS"/>
          <w:sz w:val="24"/>
          <w:szCs w:val="24"/>
        </w:rPr>
      </w:pPr>
    </w:p>
    <w:sectPr w:rsidR="00C55DD7" w:rsidRPr="005D6041" w:rsidSect="005D604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73C" w:rsidRDefault="00E5373C" w:rsidP="005D6041">
      <w:pPr>
        <w:spacing w:after="0"/>
      </w:pPr>
      <w:r>
        <w:separator/>
      </w:r>
    </w:p>
  </w:endnote>
  <w:endnote w:type="continuationSeparator" w:id="0">
    <w:p w:rsidR="00E5373C" w:rsidRDefault="00E5373C" w:rsidP="005D604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73C" w:rsidRDefault="00E5373C" w:rsidP="005D6041">
      <w:pPr>
        <w:spacing w:after="0"/>
      </w:pPr>
      <w:r>
        <w:separator/>
      </w:r>
    </w:p>
  </w:footnote>
  <w:footnote w:type="continuationSeparator" w:id="0">
    <w:p w:rsidR="00E5373C" w:rsidRDefault="00E5373C" w:rsidP="005D604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041"/>
    <w:rsid w:val="000B67E7"/>
    <w:rsid w:val="001F0E2C"/>
    <w:rsid w:val="005D6041"/>
    <w:rsid w:val="00C55DD7"/>
    <w:rsid w:val="00E5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6041"/>
    <w:pPr>
      <w:spacing w:line="240" w:lineRule="auto"/>
    </w:pPr>
    <w:rPr>
      <w:rFonts w:eastAsiaTheme="minorEastAsia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rsid w:val="005D6041"/>
    <w:pPr>
      <w:spacing w:after="0" w:line="240" w:lineRule="auto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  <w:lang w:eastAsia="es-MX"/>
    </w:rPr>
  </w:style>
  <w:style w:type="paragraph" w:customStyle="1" w:styleId="PadderBetweenControlandBody">
    <w:name w:val="Padder Between Control and Body"/>
    <w:basedOn w:val="Normal"/>
    <w:next w:val="Normal"/>
    <w:semiHidden/>
    <w:rsid w:val="005D6041"/>
    <w:pPr>
      <w:spacing w:after="120"/>
    </w:pPr>
    <w:rPr>
      <w:sz w:val="2"/>
      <w:szCs w:val="2"/>
    </w:rPr>
  </w:style>
  <w:style w:type="paragraph" w:customStyle="1" w:styleId="underline">
    <w:name w:val="underline"/>
    <w:semiHidden/>
    <w:rsid w:val="005D6041"/>
    <w:pPr>
      <w:pBdr>
        <w:bottom w:val="single" w:sz="8" w:space="2" w:color="4F81BD" w:themeColor="accent1"/>
      </w:pBdr>
      <w:spacing w:before="40" w:after="0" w:line="240" w:lineRule="auto"/>
    </w:pPr>
    <w:rPr>
      <w:rFonts w:eastAsiaTheme="minorEastAsia"/>
      <w:sz w:val="2"/>
      <w:szCs w:val="2"/>
      <w:lang w:eastAsia="es-MX"/>
    </w:rPr>
  </w:style>
  <w:style w:type="paragraph" w:styleId="Sinespaciado">
    <w:name w:val="No Spacing"/>
    <w:uiPriority w:val="1"/>
    <w:qFormat/>
    <w:rsid w:val="005D6041"/>
    <w:pPr>
      <w:spacing w:after="0" w:line="240" w:lineRule="auto"/>
    </w:pPr>
  </w:style>
  <w:style w:type="character" w:customStyle="1" w:styleId="apple-style-span">
    <w:name w:val="apple-style-span"/>
    <w:basedOn w:val="Fuentedeprrafopredeter"/>
    <w:rsid w:val="005D6041"/>
  </w:style>
  <w:style w:type="table" w:styleId="Cuadrculaclara-nfasis5">
    <w:name w:val="Light Grid Accent 5"/>
    <w:basedOn w:val="Tablanormal"/>
    <w:uiPriority w:val="62"/>
    <w:rsid w:val="005D6041"/>
    <w:pPr>
      <w:spacing w:after="0" w:line="240" w:lineRule="auto"/>
    </w:pPr>
    <w:tblPr>
      <w:tblStyleRowBandSize w:val="1"/>
      <w:tblStyleColBandSize w:val="1"/>
      <w:tblInd w:w="0" w:type="dxa"/>
      <w:tblBorders>
        <w:top w:val="double" w:sz="2" w:space="0" w:color="92D050"/>
        <w:left w:val="double" w:sz="2" w:space="0" w:color="92D050"/>
        <w:bottom w:val="double" w:sz="2" w:space="0" w:color="92D050"/>
        <w:right w:val="double" w:sz="2" w:space="0" w:color="92D050"/>
        <w:insideH w:val="double" w:sz="2" w:space="0" w:color="92D050"/>
        <w:insideV w:val="double" w:sz="2" w:space="0" w:color="92D05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2D050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D604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041"/>
    <w:rPr>
      <w:rFonts w:ascii="Tahoma" w:eastAsiaTheme="minorEastAsia" w:hAnsi="Tahoma" w:cs="Tahoma"/>
      <w:sz w:val="16"/>
      <w:szCs w:val="16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5D6041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5D604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D6041"/>
    <w:rPr>
      <w:rFonts w:eastAsiaTheme="minorEastAsia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5D604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D6041"/>
    <w:rPr>
      <w:rFonts w:eastAsiaTheme="minorEastAsia"/>
      <w:szCs w:val="20"/>
      <w:lang w:eastAsia="es-MX"/>
    </w:rPr>
  </w:style>
  <w:style w:type="table" w:styleId="Sombreadomedio1-nfasis2">
    <w:name w:val="Medium Shading 1 Accent 2"/>
    <w:basedOn w:val="Tablanormal"/>
    <w:uiPriority w:val="63"/>
    <w:rsid w:val="000B67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0B67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">
    <w:name w:val="Medium Shading 1"/>
    <w:basedOn w:val="Tablanormal"/>
    <w:uiPriority w:val="63"/>
    <w:rsid w:val="000B67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D1123"/>
    <w:rsid w:val="003F4E83"/>
    <w:rsid w:val="004D1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1123"/>
    <w:rPr>
      <w:color w:val="808080"/>
    </w:rPr>
  </w:style>
  <w:style w:type="paragraph" w:customStyle="1" w:styleId="E5E388DD819E43ECBE1580ACBDE4B275">
    <w:name w:val="E5E388DD819E43ECBE1580ACBDE4B275"/>
    <w:rsid w:val="004D11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844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47668</dc:creator>
  <cp:lastModifiedBy>47668</cp:lastModifiedBy>
  <cp:revision>1</cp:revision>
  <dcterms:created xsi:type="dcterms:W3CDTF">2011-08-18T14:25:00Z</dcterms:created>
  <dcterms:modified xsi:type="dcterms:W3CDTF">2011-08-18T14:38:00Z</dcterms:modified>
</cp:coreProperties>
</file>